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CB" w:rsidRDefault="00282CCB"/>
    <w:p w:rsidR="00DD66B1" w:rsidRDefault="00F74296" w:rsidP="00F74296">
      <w:pPr>
        <w:ind w:firstLine="720"/>
      </w:pPr>
      <w:r>
        <w:rPr>
          <w:noProof/>
        </w:rPr>
        <w:drawing>
          <wp:inline distT="0" distB="0" distL="0" distR="0" wp14:anchorId="2174C0A0" wp14:editId="170E7565">
            <wp:extent cx="5353050" cy="786384"/>
            <wp:effectExtent l="0" t="0" r="0" b="0"/>
            <wp:docPr id="2" name="Picture 2" descr="Y:\Logos and Ads\logo-out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 and Ads\logo-outline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786384"/>
                    </a:xfrm>
                    <a:prstGeom prst="rect">
                      <a:avLst/>
                    </a:prstGeom>
                    <a:noFill/>
                    <a:ln>
                      <a:noFill/>
                    </a:ln>
                  </pic:spPr>
                </pic:pic>
              </a:graphicData>
            </a:graphic>
          </wp:inline>
        </w:drawing>
      </w:r>
    </w:p>
    <w:p w:rsidR="00DD66B1" w:rsidRDefault="00DD66B1"/>
    <w:p w:rsidR="00DD66B1" w:rsidRDefault="00DD66B1"/>
    <w:p w:rsidR="00FE781F" w:rsidRDefault="00DD66B1">
      <w:r>
        <w:tab/>
      </w:r>
      <w:r>
        <w:tab/>
      </w:r>
      <w:r>
        <w:tab/>
      </w:r>
      <w:r>
        <w:tab/>
      </w:r>
      <w:r>
        <w:tab/>
      </w:r>
      <w:r>
        <w:tab/>
      </w:r>
      <w:r>
        <w:tab/>
      </w:r>
      <w:r>
        <w:tab/>
      </w:r>
      <w:r>
        <w:tab/>
      </w:r>
    </w:p>
    <w:p w:rsidR="00DD66B1" w:rsidRPr="00075331" w:rsidRDefault="00FE781F">
      <w:pPr>
        <w:rPr>
          <w:rFonts w:ascii="Arial" w:hAnsi="Arial" w:cs="Arial"/>
          <w:b/>
        </w:rPr>
      </w:pPr>
      <w:r>
        <w:tab/>
      </w:r>
      <w:r>
        <w:tab/>
      </w:r>
      <w:r>
        <w:tab/>
      </w:r>
      <w:r>
        <w:tab/>
      </w:r>
      <w:r>
        <w:tab/>
      </w:r>
      <w:r>
        <w:tab/>
      </w:r>
      <w:r>
        <w:tab/>
      </w:r>
      <w:r>
        <w:tab/>
      </w:r>
      <w:r>
        <w:tab/>
      </w:r>
      <w:r w:rsidR="00DD66B1">
        <w:tab/>
      </w:r>
      <w:r w:rsidR="00DD66B1" w:rsidRPr="00075331">
        <w:rPr>
          <w:rFonts w:ascii="Arial" w:hAnsi="Arial" w:cs="Arial"/>
          <w:b/>
        </w:rPr>
        <w:t>July 30, 2014</w:t>
      </w:r>
    </w:p>
    <w:p w:rsidR="00FE781F" w:rsidRPr="00075331" w:rsidRDefault="00FE781F">
      <w:pPr>
        <w:rPr>
          <w:rFonts w:ascii="Arial" w:hAnsi="Arial" w:cs="Arial"/>
        </w:rPr>
      </w:pPr>
    </w:p>
    <w:p w:rsidR="00FE781F" w:rsidRPr="00075331" w:rsidRDefault="00FE781F" w:rsidP="00DB02C1">
      <w:pPr>
        <w:spacing w:line="480" w:lineRule="auto"/>
        <w:jc w:val="center"/>
        <w:rPr>
          <w:rFonts w:ascii="Arial" w:hAnsi="Arial" w:cs="Arial"/>
          <w:u w:val="single"/>
        </w:rPr>
      </w:pPr>
      <w:r w:rsidRPr="00075331">
        <w:rPr>
          <w:rFonts w:ascii="Arial" w:hAnsi="Arial" w:cs="Arial"/>
          <w:u w:val="single"/>
        </w:rPr>
        <w:t>LOFT LAW OCCASIONAL NOTE</w:t>
      </w:r>
    </w:p>
    <w:p w:rsidR="00FE781F" w:rsidRPr="00075331" w:rsidRDefault="00FE781F" w:rsidP="00DB02C1">
      <w:pPr>
        <w:spacing w:line="480" w:lineRule="auto"/>
        <w:jc w:val="center"/>
        <w:rPr>
          <w:rFonts w:ascii="Arial" w:hAnsi="Arial" w:cs="Arial"/>
        </w:rPr>
      </w:pPr>
      <w:r w:rsidRPr="00075331">
        <w:rPr>
          <w:rFonts w:ascii="Arial" w:hAnsi="Arial" w:cs="Arial"/>
          <w:iCs/>
          <w:u w:val="single"/>
        </w:rPr>
        <w:t>BUILDING REGISTRATIONS</w:t>
      </w:r>
    </w:p>
    <w:p w:rsidR="00DD66B1" w:rsidRPr="00075331" w:rsidRDefault="00DD66B1">
      <w:pPr>
        <w:rPr>
          <w:rFonts w:ascii="Arial" w:hAnsi="Arial" w:cs="Arial"/>
        </w:rPr>
      </w:pPr>
    </w:p>
    <w:p w:rsidR="00DD66B1" w:rsidRPr="00075331" w:rsidRDefault="00DD66B1" w:rsidP="00DD66B1">
      <w:pPr>
        <w:rPr>
          <w:rFonts w:ascii="Arial" w:hAnsi="Arial" w:cs="Arial"/>
        </w:rPr>
      </w:pPr>
    </w:p>
    <w:p w:rsidR="00DD66B1" w:rsidRPr="00075331" w:rsidRDefault="00DD66B1" w:rsidP="00FE781F">
      <w:pPr>
        <w:pStyle w:val="BodyText"/>
        <w:spacing w:after="120" w:line="480" w:lineRule="auto"/>
        <w:ind w:firstLine="0"/>
        <w:jc w:val="left"/>
        <w:rPr>
          <w:rFonts w:ascii="Arial" w:hAnsi="Arial" w:cs="Arial"/>
          <w:sz w:val="24"/>
          <w:szCs w:val="24"/>
        </w:rPr>
      </w:pPr>
      <w:r w:rsidRPr="00075331">
        <w:rPr>
          <w:rFonts w:ascii="Arial" w:hAnsi="Arial" w:cs="Arial"/>
          <w:sz w:val="24"/>
          <w:szCs w:val="24"/>
        </w:rPr>
        <w:t>If your building has already been declared to be an Interim Multiple Dwelling and/or if it has been registered as an Interim Multiple Dwelling, Registration Renewal Payments are due by July 1 of each year.</w:t>
      </w:r>
    </w:p>
    <w:p w:rsidR="00DD66B1" w:rsidRPr="00075331" w:rsidRDefault="00DD66B1" w:rsidP="00FE781F">
      <w:pPr>
        <w:pStyle w:val="BodyText"/>
        <w:spacing w:after="120" w:line="480" w:lineRule="auto"/>
        <w:ind w:firstLine="0"/>
        <w:jc w:val="left"/>
        <w:rPr>
          <w:rFonts w:ascii="Arial" w:hAnsi="Arial" w:cs="Arial"/>
          <w:sz w:val="24"/>
          <w:szCs w:val="24"/>
        </w:rPr>
      </w:pPr>
      <w:r w:rsidRPr="00075331">
        <w:rPr>
          <w:rFonts w:ascii="Arial" w:hAnsi="Arial" w:cs="Arial"/>
          <w:sz w:val="24"/>
          <w:szCs w:val="24"/>
        </w:rPr>
        <w:t>For those of you who are suing for rent or claiming an entitlement to rent in landlord-tenant court, that registration is an absolute necessity, if you expect to be able to recover any rent whatsoever.  (This is not a discussion about other problems with collecting rent in loft buildings.)</w:t>
      </w:r>
    </w:p>
    <w:p w:rsidR="00DD66B1" w:rsidRPr="00075331" w:rsidRDefault="00DD66B1" w:rsidP="00FE781F">
      <w:pPr>
        <w:pStyle w:val="BodyText"/>
        <w:spacing w:after="120" w:line="480" w:lineRule="auto"/>
        <w:ind w:firstLine="0"/>
        <w:jc w:val="left"/>
        <w:rPr>
          <w:rFonts w:ascii="Arial" w:hAnsi="Arial" w:cs="Arial"/>
          <w:sz w:val="24"/>
          <w:szCs w:val="24"/>
        </w:rPr>
      </w:pPr>
      <w:r w:rsidRPr="00075331">
        <w:rPr>
          <w:rFonts w:ascii="Arial" w:hAnsi="Arial" w:cs="Arial"/>
          <w:sz w:val="24"/>
          <w:szCs w:val="24"/>
        </w:rPr>
        <w:t>Likewise, the Loft Board will not let you commence any proceedings there unless your registration is paid current.</w:t>
      </w:r>
    </w:p>
    <w:p w:rsidR="00DD66B1" w:rsidRPr="00075331" w:rsidRDefault="00DD66B1" w:rsidP="00FE781F">
      <w:pPr>
        <w:pStyle w:val="BodyText"/>
        <w:spacing w:after="120" w:line="480" w:lineRule="auto"/>
        <w:ind w:firstLine="0"/>
        <w:jc w:val="left"/>
        <w:rPr>
          <w:rFonts w:ascii="Arial" w:hAnsi="Arial" w:cs="Arial"/>
          <w:sz w:val="24"/>
          <w:szCs w:val="24"/>
        </w:rPr>
      </w:pPr>
      <w:r w:rsidRPr="00075331">
        <w:rPr>
          <w:rFonts w:ascii="Arial" w:hAnsi="Arial" w:cs="Arial"/>
          <w:sz w:val="24"/>
          <w:szCs w:val="24"/>
        </w:rPr>
        <w:t xml:space="preserve">Finally, loft tenants have a right to propose sales of the improvements that they have made (as a means whereby a unit can thereby be assigned to a new rent regulated tenant or the owner can purchase the improvements and in buildings of six or more tenants charge the next incoming tenant a fair market rent).  </w:t>
      </w:r>
      <w:r w:rsidRPr="00075331">
        <w:rPr>
          <w:rFonts w:ascii="Arial" w:hAnsi="Arial" w:cs="Arial"/>
          <w:b/>
          <w:sz w:val="24"/>
          <w:szCs w:val="24"/>
        </w:rPr>
        <w:t>H</w:t>
      </w:r>
      <w:r w:rsidRPr="00075331">
        <w:rPr>
          <w:rFonts w:ascii="Arial" w:hAnsi="Arial" w:cs="Arial"/>
          <w:b/>
          <w:sz w:val="24"/>
          <w:szCs w:val="24"/>
        </w:rPr>
        <w:t>owever,</w:t>
      </w:r>
      <w:r w:rsidRPr="00075331">
        <w:rPr>
          <w:rFonts w:ascii="Arial" w:hAnsi="Arial" w:cs="Arial"/>
          <w:sz w:val="24"/>
          <w:szCs w:val="24"/>
        </w:rPr>
        <w:t xml:space="preserve"> if your registration is not current at the time a sale is proposed, you do not have the right to challenge the proposed sales price.</w:t>
      </w:r>
    </w:p>
    <w:p w:rsidR="00DD66B1" w:rsidRPr="00075331" w:rsidRDefault="00DD66B1" w:rsidP="00FE781F">
      <w:pPr>
        <w:pStyle w:val="BodyText"/>
        <w:spacing w:after="120" w:line="480" w:lineRule="auto"/>
        <w:ind w:firstLine="0"/>
        <w:jc w:val="left"/>
        <w:rPr>
          <w:rFonts w:ascii="Arial" w:hAnsi="Arial" w:cs="Arial"/>
          <w:sz w:val="24"/>
          <w:szCs w:val="24"/>
        </w:rPr>
      </w:pPr>
      <w:r w:rsidRPr="00075331">
        <w:rPr>
          <w:rFonts w:ascii="Arial" w:hAnsi="Arial" w:cs="Arial"/>
          <w:sz w:val="24"/>
          <w:szCs w:val="24"/>
        </w:rPr>
        <w:t>In other words, it is time to pay your registration, if you have not done so already, and bad things can happen to you if you do not.</w:t>
      </w:r>
    </w:p>
    <w:p w:rsidR="00FE781F" w:rsidRPr="00075331" w:rsidRDefault="00FE781F" w:rsidP="00FE781F">
      <w:pPr>
        <w:pStyle w:val="BodyText"/>
        <w:spacing w:after="120" w:line="240" w:lineRule="auto"/>
        <w:ind w:firstLine="0"/>
        <w:jc w:val="left"/>
        <w:rPr>
          <w:rFonts w:ascii="Arial" w:hAnsi="Arial" w:cs="Arial"/>
          <w:sz w:val="24"/>
          <w:szCs w:val="24"/>
        </w:rPr>
      </w:pPr>
      <w:r w:rsidRPr="00075331">
        <w:rPr>
          <w:rFonts w:ascii="Arial" w:hAnsi="Arial" w:cs="Arial"/>
          <w:sz w:val="24"/>
          <w:szCs w:val="24"/>
        </w:rPr>
        <w:lastRenderedPageBreak/>
        <w:t xml:space="preserve">For more information, please contact David Brody, </w:t>
      </w:r>
      <w:hyperlink r:id="rId6" w:history="1">
        <w:r w:rsidRPr="00075331">
          <w:rPr>
            <w:rStyle w:val="Hyperlink"/>
            <w:rFonts w:ascii="Arial" w:hAnsi="Arial" w:cs="Arial"/>
            <w:sz w:val="24"/>
            <w:szCs w:val="24"/>
          </w:rPr>
          <w:t>dbrody@borahgoldstein.com</w:t>
        </w:r>
      </w:hyperlink>
      <w:r w:rsidRPr="00075331">
        <w:rPr>
          <w:rFonts w:ascii="Arial" w:hAnsi="Arial" w:cs="Arial"/>
          <w:sz w:val="24"/>
          <w:szCs w:val="24"/>
        </w:rPr>
        <w:t>, (212) 965-2662.</w:t>
      </w:r>
    </w:p>
    <w:p w:rsidR="00075331" w:rsidRPr="00075331" w:rsidRDefault="00075331" w:rsidP="00075331">
      <w:pPr>
        <w:pStyle w:val="BodyText"/>
        <w:spacing w:after="120" w:line="240" w:lineRule="auto"/>
        <w:ind w:firstLine="0"/>
        <w:jc w:val="left"/>
        <w:rPr>
          <w:rFonts w:ascii="Arial" w:hAnsi="Arial" w:cs="Arial"/>
          <w:sz w:val="20"/>
        </w:rPr>
      </w:pPr>
      <w:r w:rsidRPr="00075331">
        <w:rPr>
          <w:rFonts w:ascii="Arial" w:hAnsi="Arial" w:cs="Arial"/>
          <w:sz w:val="20"/>
        </w:rPr>
        <w:t xml:space="preserve">This is part of a series in what will be a number of occasional writings/musings for owners of loft buildings and those who are involved with their management and conversion. If you would like to receive these messages electronically, please send an email to Kim Connolly, Marketing Specialist, </w:t>
      </w:r>
      <w:hyperlink r:id="rId7" w:history="1">
        <w:r w:rsidRPr="00075331">
          <w:rPr>
            <w:rStyle w:val="Hyperlink"/>
            <w:rFonts w:ascii="Arial" w:hAnsi="Arial" w:cs="Arial"/>
            <w:sz w:val="20"/>
          </w:rPr>
          <w:t>kconnolly@borahgoldstein.com</w:t>
        </w:r>
      </w:hyperlink>
    </w:p>
    <w:p w:rsidR="00075331" w:rsidRPr="00075331" w:rsidRDefault="00075331" w:rsidP="00FE781F">
      <w:pPr>
        <w:pStyle w:val="BodyText"/>
        <w:spacing w:after="120" w:line="240" w:lineRule="auto"/>
        <w:ind w:firstLine="0"/>
        <w:jc w:val="left"/>
        <w:rPr>
          <w:rFonts w:ascii="Arial" w:hAnsi="Arial" w:cs="Arial"/>
          <w:sz w:val="24"/>
          <w:szCs w:val="24"/>
        </w:rPr>
      </w:pPr>
    </w:p>
    <w:p w:rsidR="00075331" w:rsidRPr="00075331" w:rsidRDefault="00075331" w:rsidP="00FE781F">
      <w:pPr>
        <w:pStyle w:val="BodyText"/>
        <w:spacing w:after="120" w:line="240" w:lineRule="auto"/>
        <w:ind w:firstLine="0"/>
        <w:jc w:val="left"/>
        <w:rPr>
          <w:rFonts w:ascii="Arial" w:hAnsi="Arial" w:cs="Arial"/>
          <w:sz w:val="18"/>
          <w:szCs w:val="18"/>
        </w:rPr>
      </w:pPr>
      <w:r w:rsidRPr="00075331">
        <w:rPr>
          <w:rFonts w:ascii="Arial" w:hAnsi="Arial" w:cs="Arial"/>
          <w:sz w:val="18"/>
          <w:szCs w:val="18"/>
        </w:rPr>
        <w:t>This message has been provided for informational purposes only and is not intended, and should not be construed to constitute legal advice.</w:t>
      </w:r>
    </w:p>
    <w:p w:rsidR="00075331" w:rsidRDefault="00075331" w:rsidP="00FE781F">
      <w:pPr>
        <w:pStyle w:val="BodyText"/>
        <w:spacing w:after="120" w:line="240" w:lineRule="auto"/>
        <w:ind w:firstLine="0"/>
        <w:jc w:val="left"/>
        <w:rPr>
          <w:rFonts w:ascii="Arial" w:hAnsi="Arial" w:cs="Arial"/>
          <w:sz w:val="20"/>
        </w:rPr>
      </w:pPr>
    </w:p>
    <w:p w:rsidR="00075331" w:rsidRPr="00075331" w:rsidRDefault="00075331" w:rsidP="00FE781F">
      <w:pPr>
        <w:pStyle w:val="BodyText"/>
        <w:spacing w:after="120" w:line="240" w:lineRule="auto"/>
        <w:ind w:firstLine="0"/>
        <w:jc w:val="left"/>
        <w:rPr>
          <w:rFonts w:ascii="Arial" w:hAnsi="Arial" w:cs="Arial"/>
          <w:sz w:val="20"/>
        </w:rPr>
      </w:pPr>
      <w:r>
        <w:rPr>
          <w:rFonts w:ascii="Arial" w:hAnsi="Arial" w:cs="Arial"/>
          <w:sz w:val="20"/>
        </w:rPr>
        <w:t>©</w:t>
      </w:r>
      <w:r w:rsidR="00F74296" w:rsidRPr="00F74296">
        <w:rPr>
          <w:rFonts w:ascii="Arial" w:hAnsi="Arial" w:cs="Arial"/>
          <w:sz w:val="16"/>
          <w:szCs w:val="16"/>
        </w:rPr>
        <w:t>Copyright 2014</w:t>
      </w:r>
      <w:r w:rsidR="00F74296">
        <w:rPr>
          <w:rFonts w:ascii="Arial" w:hAnsi="Arial" w:cs="Arial"/>
          <w:sz w:val="20"/>
        </w:rPr>
        <w:t xml:space="preserve"> </w:t>
      </w:r>
      <w:r w:rsidR="00F74296">
        <w:rPr>
          <w:rFonts w:ascii="Arial" w:hAnsi="Arial" w:cs="Arial"/>
          <w:sz w:val="20"/>
        </w:rPr>
        <w:tab/>
      </w:r>
      <w:r w:rsidR="00F74296">
        <w:rPr>
          <w:rFonts w:ascii="Arial" w:hAnsi="Arial" w:cs="Arial"/>
          <w:sz w:val="20"/>
        </w:rPr>
        <w:tab/>
      </w:r>
      <w:bookmarkStart w:id="0" w:name="_GoBack"/>
      <w:bookmarkEnd w:id="0"/>
      <w:r w:rsidR="00F74296">
        <w:rPr>
          <w:rFonts w:ascii="Arial" w:hAnsi="Arial" w:cs="Arial"/>
          <w:sz w:val="20"/>
        </w:rPr>
        <w:tab/>
      </w:r>
      <w:r w:rsidR="00F74296">
        <w:rPr>
          <w:rFonts w:ascii="Arial" w:hAnsi="Arial" w:cs="Arial"/>
          <w:sz w:val="20"/>
        </w:rPr>
        <w:tab/>
      </w:r>
      <w:r w:rsidR="00F74296">
        <w:rPr>
          <w:rFonts w:ascii="Arial" w:hAnsi="Arial" w:cs="Arial"/>
          <w:sz w:val="20"/>
        </w:rPr>
        <w:tab/>
      </w:r>
      <w:r w:rsidR="00F74296">
        <w:rPr>
          <w:rFonts w:ascii="Arial" w:hAnsi="Arial" w:cs="Arial"/>
          <w:sz w:val="20"/>
        </w:rPr>
        <w:tab/>
        <w:t xml:space="preserve">Attorney Advertising </w:t>
      </w:r>
      <w:r w:rsidR="00F74296">
        <w:rPr>
          <w:rFonts w:ascii="Arial" w:hAnsi="Arial" w:cs="Arial"/>
          <w:sz w:val="20"/>
        </w:rPr>
        <w:tab/>
      </w:r>
      <w:r w:rsidR="00F74296">
        <w:rPr>
          <w:rFonts w:ascii="Arial" w:hAnsi="Arial" w:cs="Arial"/>
          <w:sz w:val="20"/>
        </w:rPr>
        <w:tab/>
      </w:r>
    </w:p>
    <w:p w:rsidR="00075331" w:rsidRPr="00075331" w:rsidRDefault="00075331" w:rsidP="00FE781F">
      <w:pPr>
        <w:pStyle w:val="BodyText"/>
        <w:spacing w:after="120" w:line="240" w:lineRule="auto"/>
        <w:ind w:firstLine="0"/>
        <w:jc w:val="left"/>
        <w:rPr>
          <w:rFonts w:ascii="Arial" w:hAnsi="Arial" w:cs="Arial"/>
          <w:sz w:val="24"/>
          <w:szCs w:val="24"/>
        </w:rPr>
      </w:pPr>
    </w:p>
    <w:p w:rsidR="00DD66B1" w:rsidRPr="00075331" w:rsidRDefault="00DD66B1" w:rsidP="00DD66B1">
      <w:pPr>
        <w:pStyle w:val="BodyText"/>
        <w:spacing w:after="0"/>
        <w:ind w:firstLine="0"/>
        <w:rPr>
          <w:rFonts w:ascii="Arial" w:hAnsi="Arial" w:cs="Arial"/>
          <w:sz w:val="24"/>
        </w:rPr>
      </w:pPr>
    </w:p>
    <w:p w:rsidR="00DD66B1" w:rsidRPr="00075331" w:rsidRDefault="00DD66B1" w:rsidP="00DD66B1">
      <w:pPr>
        <w:pStyle w:val="BodyText"/>
        <w:spacing w:after="0"/>
        <w:ind w:firstLine="0"/>
        <w:rPr>
          <w:rFonts w:ascii="Arial" w:hAnsi="Arial" w:cs="Arial"/>
          <w:sz w:val="24"/>
        </w:rPr>
      </w:pPr>
    </w:p>
    <w:p w:rsidR="00DD66B1" w:rsidRDefault="00DD66B1" w:rsidP="00DD66B1">
      <w:pPr>
        <w:jc w:val="right"/>
      </w:pPr>
    </w:p>
    <w:sectPr w:rsidR="00DD66B1" w:rsidSect="00F74296">
      <w:pgSz w:w="12240" w:h="15840"/>
      <w:pgMar w:top="54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B1"/>
    <w:rsid w:val="00075331"/>
    <w:rsid w:val="00282CCB"/>
    <w:rsid w:val="00DB02C1"/>
    <w:rsid w:val="00DD66B1"/>
    <w:rsid w:val="00E73CBB"/>
    <w:rsid w:val="00F74296"/>
    <w:rsid w:val="00FE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66B1"/>
    <w:rPr>
      <w:rFonts w:ascii="Tahoma" w:hAnsi="Tahoma" w:cs="Tahoma"/>
      <w:sz w:val="16"/>
      <w:szCs w:val="16"/>
    </w:rPr>
  </w:style>
  <w:style w:type="character" w:customStyle="1" w:styleId="BalloonTextChar">
    <w:name w:val="Balloon Text Char"/>
    <w:basedOn w:val="DefaultParagraphFont"/>
    <w:link w:val="BalloonText"/>
    <w:rsid w:val="00DD66B1"/>
    <w:rPr>
      <w:rFonts w:ascii="Tahoma" w:hAnsi="Tahoma" w:cs="Tahoma"/>
      <w:sz w:val="16"/>
      <w:szCs w:val="16"/>
    </w:rPr>
  </w:style>
  <w:style w:type="paragraph" w:styleId="BodyText">
    <w:name w:val="Body Text"/>
    <w:basedOn w:val="Normal"/>
    <w:link w:val="BodyTextChar"/>
    <w:unhideWhenUsed/>
    <w:rsid w:val="00DD66B1"/>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DD66B1"/>
    <w:rPr>
      <w:rFonts w:ascii="Garamond" w:hAnsi="Garamond"/>
      <w:sz w:val="22"/>
    </w:rPr>
  </w:style>
  <w:style w:type="character" w:styleId="Hyperlink">
    <w:name w:val="Hyperlink"/>
    <w:basedOn w:val="DefaultParagraphFont"/>
    <w:rsid w:val="00FE78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66B1"/>
    <w:rPr>
      <w:rFonts w:ascii="Tahoma" w:hAnsi="Tahoma" w:cs="Tahoma"/>
      <w:sz w:val="16"/>
      <w:szCs w:val="16"/>
    </w:rPr>
  </w:style>
  <w:style w:type="character" w:customStyle="1" w:styleId="BalloonTextChar">
    <w:name w:val="Balloon Text Char"/>
    <w:basedOn w:val="DefaultParagraphFont"/>
    <w:link w:val="BalloonText"/>
    <w:rsid w:val="00DD66B1"/>
    <w:rPr>
      <w:rFonts w:ascii="Tahoma" w:hAnsi="Tahoma" w:cs="Tahoma"/>
      <w:sz w:val="16"/>
      <w:szCs w:val="16"/>
    </w:rPr>
  </w:style>
  <w:style w:type="paragraph" w:styleId="BodyText">
    <w:name w:val="Body Text"/>
    <w:basedOn w:val="Normal"/>
    <w:link w:val="BodyTextChar"/>
    <w:unhideWhenUsed/>
    <w:rsid w:val="00DD66B1"/>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DD66B1"/>
    <w:rPr>
      <w:rFonts w:ascii="Garamond" w:hAnsi="Garamond"/>
      <w:sz w:val="22"/>
    </w:rPr>
  </w:style>
  <w:style w:type="character" w:styleId="Hyperlink">
    <w:name w:val="Hyperlink"/>
    <w:basedOn w:val="DefaultParagraphFont"/>
    <w:rsid w:val="00FE7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onnolly@borahgoldstei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brody@borahgoldstein.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Connolly</dc:creator>
  <cp:lastModifiedBy>Kimberly Connolly</cp:lastModifiedBy>
  <cp:revision>1</cp:revision>
  <dcterms:created xsi:type="dcterms:W3CDTF">2014-07-30T18:00:00Z</dcterms:created>
  <dcterms:modified xsi:type="dcterms:W3CDTF">2014-07-30T18:56:00Z</dcterms:modified>
</cp:coreProperties>
</file>